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81640" w:rsidR="00A2105F" w:rsidP="00C81640" w:rsidRDefault="00C81640" w14:paraId="5C9B0B99" wp14:textId="77777777">
      <w:pPr>
        <w:jc w:val="center"/>
        <w:rPr>
          <w:b/>
        </w:rPr>
      </w:pPr>
      <w:bookmarkStart w:name="_GoBack" w:id="0"/>
      <w:bookmarkEnd w:id="0"/>
      <w:r w:rsidRPr="00C81640">
        <w:rPr>
          <w:b/>
        </w:rPr>
        <w:t>NEUROIMAGING UPDATE: THE STUDIES AND SEQUENCES YOU SHOULD KNOW</w:t>
      </w:r>
    </w:p>
    <w:p xmlns:wp14="http://schemas.microsoft.com/office/word/2010/wordml" w:rsidR="00C81640" w:rsidP="00C81640" w:rsidRDefault="00C81640" w14:paraId="0EC6B8FB" wp14:textId="77777777">
      <w:pPr>
        <w:jc w:val="center"/>
      </w:pPr>
      <w:r w:rsidR="22DA19A1">
        <w:rPr/>
        <w:t>Matthew Siket, MD, MS, FACEP</w:t>
      </w:r>
    </w:p>
    <w:p w:rsidR="22DA19A1" w:rsidP="22DA19A1" w:rsidRDefault="22DA19A1" w14:noSpellErr="1" w14:paraId="3E1AE4B3" w14:textId="401965FF">
      <w:pPr>
        <w:pStyle w:val="Normal"/>
        <w:jc w:val="center"/>
      </w:pPr>
    </w:p>
    <w:p w:rsidR="22DA19A1" w:rsidP="22DA19A1" w:rsidRDefault="22DA19A1" w14:paraId="2910DA74" w14:textId="112BEB7B">
      <w:pPr>
        <w:pStyle w:val="Normal"/>
        <w:jc w:val="center"/>
      </w:pPr>
      <w:r w:rsidR="22DA19A1">
        <w:rPr/>
        <w:t>Maine Medical Center Winter Symposium 2019</w:t>
      </w:r>
    </w:p>
    <w:p xmlns:wp14="http://schemas.microsoft.com/office/word/2010/wordml" w:rsidR="00C81640" w:rsidP="00C81640" w:rsidRDefault="00C81640" w14:paraId="672A6659" wp14:textId="77777777">
      <w:pPr>
        <w:jc w:val="center"/>
      </w:pPr>
    </w:p>
    <w:p xmlns:wp14="http://schemas.microsoft.com/office/word/2010/wordml" w:rsidR="00C81640" w:rsidP="00B30986" w:rsidRDefault="00C81640" w14:paraId="46095352" wp14:textId="77777777">
      <w:r>
        <w:t>The world of emergency neuroimaging is evolving and increasingly influencing time-sensitive treatment decisions. A basic understanding of the imaging studies and sequences you may be asked to obtain in the ED may help you better manage your patients</w:t>
      </w:r>
      <w:r w:rsidR="00B30986">
        <w:t>. Four imaging modalities will be discussed (CT, CTA, Perfusion, and MRI)</w:t>
      </w:r>
    </w:p>
    <w:p xmlns:wp14="http://schemas.microsoft.com/office/word/2010/wordml" w:rsidR="00B30986" w:rsidP="00B30986" w:rsidRDefault="00B30986" w14:paraId="0A37501D" wp14:textId="77777777">
      <w:pPr>
        <w:pStyle w:val="ListParagraph"/>
        <w:ind w:left="1080"/>
      </w:pPr>
    </w:p>
    <w:p xmlns:wp14="http://schemas.microsoft.com/office/word/2010/wordml" w:rsidR="00B30986" w:rsidP="00B30986" w:rsidRDefault="00B30986" w14:paraId="5E216903" wp14:textId="77777777">
      <w:pPr>
        <w:pStyle w:val="ListParagraph"/>
        <w:numPr>
          <w:ilvl w:val="0"/>
          <w:numId w:val="1"/>
        </w:numPr>
      </w:pPr>
      <w:r>
        <w:t>CT:</w:t>
      </w:r>
    </w:p>
    <w:p xmlns:wp14="http://schemas.microsoft.com/office/word/2010/wordml" w:rsidR="00C81640" w:rsidP="00B30986" w:rsidRDefault="00C81640" w14:paraId="38F29BD2" wp14:textId="77777777">
      <w:pPr>
        <w:pStyle w:val="ListParagraph"/>
        <w:numPr>
          <w:ilvl w:val="1"/>
          <w:numId w:val="1"/>
        </w:numPr>
      </w:pPr>
      <w:r>
        <w:t>The most common brain imaging study obtained in the ED is a non-contrast CT scan</w:t>
      </w:r>
      <w:r w:rsidR="00B30986">
        <w:t xml:space="preserve"> (NCCT)</w:t>
      </w:r>
      <w:r>
        <w:t xml:space="preserve">. The “Blood Can Be Very Bad” mnemonic (credit: Andrew D. </w:t>
      </w:r>
      <w:proofErr w:type="spellStart"/>
      <w:r>
        <w:t>Perron</w:t>
      </w:r>
      <w:proofErr w:type="spellEnd"/>
      <w:r>
        <w:t>, MD) can help the ED provider quickly and thoroughly review a NCCT</w:t>
      </w:r>
    </w:p>
    <w:p xmlns:wp14="http://schemas.microsoft.com/office/word/2010/wordml" w:rsidR="00B30986" w:rsidP="00B30986" w:rsidRDefault="00B30986" w14:paraId="23A69D72" wp14:textId="77777777">
      <w:pPr>
        <w:pStyle w:val="ListParagraph"/>
        <w:numPr>
          <w:ilvl w:val="1"/>
          <w:numId w:val="1"/>
        </w:numPr>
      </w:pPr>
      <w:r>
        <w:t>You should know of the CT ASPECTS score which grades early ischemic hypodensities along the anterior circulation using a 10-point scale. In this case, a higher score is better and portends a better outcome. Generally, patients with low scores (0-4) are considered poor reperfusion candidates</w:t>
      </w:r>
    </w:p>
    <w:p xmlns:wp14="http://schemas.microsoft.com/office/word/2010/wordml" w:rsidR="00B30986" w:rsidP="00B30986" w:rsidRDefault="00B30986" w14:paraId="753CEDF3" wp14:textId="77777777">
      <w:pPr>
        <w:pStyle w:val="ListParagraph"/>
        <w:numPr>
          <w:ilvl w:val="1"/>
          <w:numId w:val="1"/>
        </w:numPr>
      </w:pPr>
      <w:r>
        <w:t>In cases of intracerebral hemorrhage (ICH), the ICH volume may be useful to c</w:t>
      </w:r>
      <w:r w:rsidR="00CD67BD">
        <w:t>ommunicate to consultants</w:t>
      </w:r>
      <w:r>
        <w:t>. A volume &gt;30cc is associated with poorer outcome at 30-days compared to &lt;30cc and this is a component of the ICH score. Volume can be easily calculated using the ABC/2 method:</w:t>
      </w:r>
    </w:p>
    <w:p xmlns:wp14="http://schemas.microsoft.com/office/word/2010/wordml" w:rsidRPr="00CD67BD" w:rsidR="00B30986" w:rsidP="00B30986" w:rsidRDefault="00B30986" w14:paraId="2662733F" wp14:textId="77777777">
      <w:pPr>
        <w:pStyle w:val="ListParagraph"/>
        <w:numPr>
          <w:ilvl w:val="2"/>
          <w:numId w:val="1"/>
        </w:numPr>
      </w:pPr>
      <w:r>
        <w:t xml:space="preserve">Measure the hematoma at its largest axial cut in two perpendicular dimensions (A </w:t>
      </w:r>
      <w:r w:rsidR="00CD67BD">
        <w:t>and</w:t>
      </w:r>
      <w:r>
        <w:t xml:space="preserve"> B) in cm</w:t>
      </w:r>
      <w:r>
        <w:rPr>
          <w:rFonts w:cs="Times New Roman (Body CS)"/>
        </w:rPr>
        <w:t xml:space="preserve">. </w:t>
      </w:r>
      <w:r w:rsidR="00CD67BD">
        <w:rPr>
          <w:rFonts w:cs="Times New Roman (Body CS)"/>
        </w:rPr>
        <w:t>Then determine</w:t>
      </w:r>
      <w:r>
        <w:rPr>
          <w:rFonts w:cs="Times New Roman (Body CS)"/>
        </w:rPr>
        <w:t xml:space="preserve"> the number of slices on which blood can be seen in cm (most traditional NCCT studies are 5mm thickness slices, so if seen on 7 slices, then </w:t>
      </w:r>
      <w:r w:rsidR="00CD67BD">
        <w:rPr>
          <w:rFonts w:cs="Times New Roman (Body CS)"/>
        </w:rPr>
        <w:t>[</w:t>
      </w:r>
      <w:r>
        <w:rPr>
          <w:rFonts w:cs="Times New Roman (Body CS)"/>
        </w:rPr>
        <w:t>7 x 0.5]</w:t>
      </w:r>
      <w:r w:rsidR="00CD67BD">
        <w:rPr>
          <w:rFonts w:cs="Times New Roman (Body CS)"/>
        </w:rPr>
        <w:t xml:space="preserve">). This C. Multiple </w:t>
      </w:r>
      <w:proofErr w:type="spellStart"/>
      <w:r w:rsidR="00CD67BD">
        <w:rPr>
          <w:rFonts w:cs="Times New Roman (Body CS)"/>
        </w:rPr>
        <w:t>AxBxC</w:t>
      </w:r>
      <w:proofErr w:type="spellEnd"/>
      <w:r w:rsidR="00CD67BD">
        <w:rPr>
          <w:rFonts w:cs="Times New Roman (Body CS)"/>
        </w:rPr>
        <w:t xml:space="preserve"> and divide the product by 2 (approximate volume of an ellipsoid)</w:t>
      </w:r>
    </w:p>
    <w:p xmlns:wp14="http://schemas.microsoft.com/office/word/2010/wordml" w:rsidR="00CD67BD" w:rsidP="00CD67BD" w:rsidRDefault="00CD67BD" w14:paraId="1687FCDD" wp14:textId="77777777">
      <w:pPr>
        <w:pStyle w:val="ListParagraph"/>
        <w:numPr>
          <w:ilvl w:val="1"/>
          <w:numId w:val="1"/>
        </w:numPr>
      </w:pPr>
      <w:r>
        <w:t>Be able to detect a dense vessel sign (MCA or Basilar) as early recognition can result in faster treatment and in some cases, patients can forgo additional vessel imaging</w:t>
      </w:r>
    </w:p>
    <w:p xmlns:wp14="http://schemas.microsoft.com/office/word/2010/wordml" w:rsidR="00CD67BD" w:rsidP="00CD67BD" w:rsidRDefault="00CD67BD" w14:paraId="2165413F" wp14:textId="77777777">
      <w:pPr>
        <w:pStyle w:val="ListParagraph"/>
        <w:numPr>
          <w:ilvl w:val="0"/>
          <w:numId w:val="1"/>
        </w:numPr>
      </w:pPr>
      <w:r>
        <w:t>CTA:</w:t>
      </w:r>
    </w:p>
    <w:p xmlns:wp14="http://schemas.microsoft.com/office/word/2010/wordml" w:rsidR="00CD67BD" w:rsidP="00CD67BD" w:rsidRDefault="00CD67BD" w14:paraId="2997474B" wp14:textId="77777777">
      <w:pPr>
        <w:pStyle w:val="ListParagraph"/>
        <w:numPr>
          <w:ilvl w:val="1"/>
          <w:numId w:val="1"/>
        </w:numPr>
      </w:pPr>
      <w:r>
        <w:t xml:space="preserve"> CT angiography is useful in cerebrovascular emergencies such as when stroke, dissection, aneurysm or vasculitis/vasospasm are suspected.</w:t>
      </w:r>
    </w:p>
    <w:p xmlns:wp14="http://schemas.microsoft.com/office/word/2010/wordml" w:rsidR="00CD67BD" w:rsidP="00CD67BD" w:rsidRDefault="00CD67BD" w14:paraId="523F6569" wp14:textId="77777777">
      <w:pPr>
        <w:pStyle w:val="ListParagraph"/>
        <w:numPr>
          <w:ilvl w:val="1"/>
          <w:numId w:val="1"/>
        </w:numPr>
      </w:pPr>
      <w:r>
        <w:t>CTA can be single phase or multiphase (early arterial, late arterial and venous)</w:t>
      </w:r>
    </w:p>
    <w:p xmlns:wp14="http://schemas.microsoft.com/office/word/2010/wordml" w:rsidR="00CD67BD" w:rsidP="00CD67BD" w:rsidRDefault="00CD67BD" w14:paraId="16545230" wp14:textId="77777777">
      <w:pPr>
        <w:pStyle w:val="ListParagraph"/>
        <w:numPr>
          <w:ilvl w:val="2"/>
          <w:numId w:val="1"/>
        </w:numPr>
      </w:pPr>
      <w:r>
        <w:t>Multiphase CTA adds slightly more radiation, but no additional contrast and can increase the sensitivity of the study for an occlusion</w:t>
      </w:r>
    </w:p>
    <w:p xmlns:wp14="http://schemas.microsoft.com/office/word/2010/wordml" w:rsidR="00CD67BD" w:rsidP="00CD67BD" w:rsidRDefault="00CD67BD" w14:paraId="110F51C9" wp14:textId="77777777">
      <w:pPr>
        <w:pStyle w:val="ListParagraph"/>
        <w:numPr>
          <w:ilvl w:val="0"/>
          <w:numId w:val="1"/>
        </w:numPr>
      </w:pPr>
      <w:r>
        <w:t>Perfusion Imaging:</w:t>
      </w:r>
    </w:p>
    <w:p xmlns:wp14="http://schemas.microsoft.com/office/word/2010/wordml" w:rsidR="00CD67BD" w:rsidP="00CD67BD" w:rsidRDefault="00CD67BD" w14:paraId="36D8EAA1" wp14:textId="77777777">
      <w:pPr>
        <w:pStyle w:val="ListParagraph"/>
        <w:numPr>
          <w:ilvl w:val="1"/>
          <w:numId w:val="1"/>
        </w:numPr>
      </w:pPr>
      <w:r>
        <w:t>Can be CT or MR-based and typically involves highly sophisticated post-processing software that measures:</w:t>
      </w:r>
    </w:p>
    <w:p xmlns:wp14="http://schemas.microsoft.com/office/word/2010/wordml" w:rsidR="00CD67BD" w:rsidP="00CD67BD" w:rsidRDefault="00CD67BD" w14:paraId="18D4BEAB" wp14:textId="77777777">
      <w:pPr>
        <w:pStyle w:val="ListParagraph"/>
        <w:numPr>
          <w:ilvl w:val="2"/>
          <w:numId w:val="1"/>
        </w:numPr>
      </w:pPr>
      <w:r>
        <w:t>Cerebral blood volume (CBV)</w:t>
      </w:r>
    </w:p>
    <w:p xmlns:wp14="http://schemas.microsoft.com/office/word/2010/wordml" w:rsidR="00CD67BD" w:rsidP="00CD67BD" w:rsidRDefault="00CD67BD" w14:paraId="51143688" wp14:textId="77777777">
      <w:pPr>
        <w:pStyle w:val="ListParagraph"/>
        <w:numPr>
          <w:ilvl w:val="2"/>
          <w:numId w:val="1"/>
        </w:numPr>
      </w:pPr>
      <w:r>
        <w:t>Cerebral Blood Flow (CBF)</w:t>
      </w:r>
    </w:p>
    <w:p xmlns:wp14="http://schemas.microsoft.com/office/word/2010/wordml" w:rsidR="00CD67BD" w:rsidP="00CD67BD" w:rsidRDefault="00CD67BD" w14:paraId="399598BD" wp14:textId="77777777">
      <w:pPr>
        <w:pStyle w:val="ListParagraph"/>
        <w:numPr>
          <w:ilvl w:val="2"/>
          <w:numId w:val="1"/>
        </w:numPr>
      </w:pPr>
      <w:r>
        <w:t>Mean Transit Time (MTT)</w:t>
      </w:r>
    </w:p>
    <w:p xmlns:wp14="http://schemas.microsoft.com/office/word/2010/wordml" w:rsidR="00CD67BD" w:rsidP="00CD67BD" w:rsidRDefault="00CD67BD" w14:paraId="067E39E7" wp14:textId="77777777">
      <w:pPr>
        <w:pStyle w:val="ListParagraph"/>
        <w:numPr>
          <w:ilvl w:val="2"/>
          <w:numId w:val="1"/>
        </w:numPr>
      </w:pPr>
      <w:r>
        <w:t>Time To Peak (TTP)</w:t>
      </w:r>
    </w:p>
    <w:p xmlns:wp14="http://schemas.microsoft.com/office/word/2010/wordml" w:rsidR="00CD67BD" w:rsidP="00CD67BD" w:rsidRDefault="00CD67BD" w14:paraId="1C6D1473" wp14:textId="77777777">
      <w:pPr>
        <w:pStyle w:val="ListParagraph"/>
        <w:numPr>
          <w:ilvl w:val="1"/>
          <w:numId w:val="1"/>
        </w:numPr>
      </w:pPr>
      <w:r>
        <w:t>Increased CBV with decreased CBF suggests a favorable imaging pattern suggestive of ischemic penumbral tissue that may be potentially salvageable</w:t>
      </w:r>
    </w:p>
    <w:p xmlns:wp14="http://schemas.microsoft.com/office/word/2010/wordml" w:rsidR="00CD67BD" w:rsidP="00CD67BD" w:rsidRDefault="003F50F6" w14:paraId="04616E01" wp14:textId="77777777">
      <w:pPr>
        <w:pStyle w:val="ListParagraph"/>
        <w:numPr>
          <w:ilvl w:val="1"/>
          <w:numId w:val="1"/>
        </w:numPr>
      </w:pPr>
      <w:r>
        <w:t>Increasingly, perfusion imaging modalities are being used as a surrogate to time in wake-up stroke when the LKW is unknown</w:t>
      </w:r>
    </w:p>
    <w:p xmlns:wp14="http://schemas.microsoft.com/office/word/2010/wordml" w:rsidR="003F50F6" w:rsidP="003F50F6" w:rsidRDefault="003F50F6" w14:paraId="76164050" wp14:textId="77777777">
      <w:pPr>
        <w:pStyle w:val="ListParagraph"/>
        <w:numPr>
          <w:ilvl w:val="0"/>
          <w:numId w:val="1"/>
        </w:numPr>
      </w:pPr>
      <w:r>
        <w:lastRenderedPageBreak/>
        <w:t>MRI:</w:t>
      </w:r>
    </w:p>
    <w:p xmlns:wp14="http://schemas.microsoft.com/office/word/2010/wordml" w:rsidR="003F50F6" w:rsidP="003F50F6" w:rsidRDefault="003F50F6" w14:paraId="5985BB46" wp14:textId="77777777">
      <w:pPr>
        <w:pStyle w:val="ListParagraph"/>
        <w:numPr>
          <w:ilvl w:val="1"/>
          <w:numId w:val="1"/>
        </w:numPr>
      </w:pPr>
      <w:r>
        <w:t xml:space="preserve">A </w:t>
      </w:r>
      <w:proofErr w:type="spellStart"/>
      <w:r>
        <w:t>hyperacute</w:t>
      </w:r>
      <w:proofErr w:type="spellEnd"/>
      <w:r>
        <w:t xml:space="preserve"> MRI for stroke can be completed in 6-10 minutes. The sequences obtained include:</w:t>
      </w:r>
    </w:p>
    <w:p xmlns:wp14="http://schemas.microsoft.com/office/word/2010/wordml" w:rsidR="003F50F6" w:rsidP="003F50F6" w:rsidRDefault="003F50F6" w14:paraId="6ACF0FCD" wp14:textId="77777777">
      <w:pPr>
        <w:pStyle w:val="ListParagraph"/>
        <w:numPr>
          <w:ilvl w:val="2"/>
          <w:numId w:val="1"/>
        </w:numPr>
      </w:pPr>
      <w:r>
        <w:t xml:space="preserve">Diffusion-weighted imaging (DWI) </w:t>
      </w:r>
    </w:p>
    <w:p xmlns:wp14="http://schemas.microsoft.com/office/word/2010/wordml" w:rsidR="003F50F6" w:rsidP="003F50F6" w:rsidRDefault="003F50F6" w14:paraId="5E7FB6EB" wp14:textId="77777777">
      <w:pPr>
        <w:pStyle w:val="ListParagraph"/>
        <w:numPr>
          <w:ilvl w:val="2"/>
          <w:numId w:val="1"/>
        </w:numPr>
      </w:pPr>
      <w:r>
        <w:t>Apparent Diffusion Coefficient (ADC)</w:t>
      </w:r>
    </w:p>
    <w:p xmlns:wp14="http://schemas.microsoft.com/office/word/2010/wordml" w:rsidR="003F50F6" w:rsidP="003F50F6" w:rsidRDefault="003F50F6" w14:paraId="20C5BAE4" wp14:textId="77777777">
      <w:pPr>
        <w:pStyle w:val="ListParagraph"/>
        <w:numPr>
          <w:ilvl w:val="2"/>
          <w:numId w:val="1"/>
        </w:numPr>
      </w:pPr>
      <w:r>
        <w:t>T2-weighted Fluid Attenuated Inversion Recovery (T2FLAIR)</w:t>
      </w:r>
    </w:p>
    <w:p xmlns:wp14="http://schemas.microsoft.com/office/word/2010/wordml" w:rsidR="003F50F6" w:rsidP="003F50F6" w:rsidRDefault="003F50F6" w14:paraId="7253B177" wp14:textId="77777777">
      <w:pPr>
        <w:pStyle w:val="ListParagraph"/>
        <w:numPr>
          <w:ilvl w:val="2"/>
          <w:numId w:val="1"/>
        </w:numPr>
      </w:pPr>
      <w:r>
        <w:t xml:space="preserve">Gradient Echo (GRE) or Susceptibility Weighted Imaging (SWI)  </w:t>
      </w:r>
    </w:p>
    <w:p xmlns:wp14="http://schemas.microsoft.com/office/word/2010/wordml" w:rsidR="003F50F6" w:rsidP="003F50F6" w:rsidRDefault="003F50F6" w14:paraId="4AACAE3C" wp14:textId="77777777">
      <w:pPr>
        <w:ind w:left="1440"/>
      </w:pPr>
      <w:r>
        <w:t>DWI identifies cytotoxic edema formation that begins very early on in a stroke. Within 3 hours of onset, T2FLAIR change will appear in 95% of cases. An acute ischemic stroke should appear bright on DWI and dark on ADC. GRE and SWI are sensitive for the detection of hemorrhage.</w:t>
      </w:r>
    </w:p>
    <w:p xmlns:wp14="http://schemas.microsoft.com/office/word/2010/wordml" w:rsidR="003F50F6" w:rsidP="003F50F6" w:rsidRDefault="003F50F6" w14:paraId="5DAB6C7B" wp14:textId="77777777">
      <w:pPr>
        <w:ind w:left="1440"/>
      </w:pPr>
    </w:p>
    <w:p xmlns:wp14="http://schemas.microsoft.com/office/word/2010/wordml" w:rsidR="003F50F6" w:rsidP="003F50F6" w:rsidRDefault="003F50F6" w14:paraId="5C5A9BCF" wp14:textId="77777777">
      <w:pPr>
        <w:pStyle w:val="ListParagraph"/>
        <w:numPr>
          <w:ilvl w:val="1"/>
          <w:numId w:val="1"/>
        </w:numPr>
      </w:pPr>
      <w:r>
        <w:t>A diffusion/flair mismatch has been proposed to be a surrogate to time in cases of wake-up strokes</w:t>
      </w:r>
    </w:p>
    <w:p xmlns:wp14="http://schemas.microsoft.com/office/word/2010/wordml" w:rsidR="003F50F6" w:rsidP="003F50F6" w:rsidRDefault="003F50F6" w14:paraId="02EB378F" wp14:textId="77777777">
      <w:pPr>
        <w:pStyle w:val="ListParagraph"/>
        <w:ind w:left="1440"/>
      </w:pPr>
    </w:p>
    <w:p xmlns:wp14="http://schemas.microsoft.com/office/word/2010/wordml" w:rsidR="003F50F6" w:rsidP="003F50F6" w:rsidRDefault="003F50F6" w14:paraId="129A6EEA" wp14:textId="77777777">
      <w:r>
        <w:t>For further reading:</w:t>
      </w:r>
    </w:p>
    <w:p xmlns:wp14="http://schemas.microsoft.com/office/word/2010/wordml" w:rsidR="003F50F6" w:rsidP="003F50F6" w:rsidRDefault="003F50F6" w14:paraId="2E0861B6" wp14:textId="77777777">
      <w:pPr>
        <w:pStyle w:val="ListParagraph"/>
        <w:numPr>
          <w:ilvl w:val="0"/>
          <w:numId w:val="2"/>
        </w:numPr>
      </w:pPr>
      <w:proofErr w:type="spellStart"/>
      <w:r>
        <w:t>Perron</w:t>
      </w:r>
      <w:proofErr w:type="spellEnd"/>
      <w:r>
        <w:t xml:space="preserve"> AD. How to Read a Head CT Scan: </w:t>
      </w:r>
      <w:hyperlink w:history="1" r:id="rId5">
        <w:r w:rsidRPr="00120F03">
          <w:rPr>
            <w:rStyle w:val="Hyperlink"/>
          </w:rPr>
          <w:t>https://www.downeastem.org/downeastem/2016/11/19/how-to-read-a-head-ct-andrew-perron-md</w:t>
        </w:r>
      </w:hyperlink>
    </w:p>
    <w:p xmlns:wp14="http://schemas.microsoft.com/office/word/2010/wordml" w:rsidR="003F50F6" w:rsidP="003F50F6" w:rsidRDefault="003F50F6" w14:paraId="0F63F864" wp14:textId="77777777">
      <w:pPr>
        <w:pStyle w:val="ListParagraph"/>
        <w:numPr>
          <w:ilvl w:val="0"/>
          <w:numId w:val="2"/>
        </w:numPr>
      </w:pPr>
      <w:r>
        <w:t xml:space="preserve">Smith AG and Hill CR. Imaging assessment of acute </w:t>
      </w:r>
      <w:proofErr w:type="spellStart"/>
      <w:r>
        <w:t>ischaemic</w:t>
      </w:r>
      <w:proofErr w:type="spellEnd"/>
      <w:r>
        <w:t xml:space="preserve"> stroke: a review of radiological methods. Br J </w:t>
      </w:r>
      <w:proofErr w:type="spellStart"/>
      <w:r>
        <w:t>Radiol</w:t>
      </w:r>
      <w:proofErr w:type="spellEnd"/>
      <w:r>
        <w:t>. 2018;91:1083</w:t>
      </w:r>
    </w:p>
    <w:p xmlns:wp14="http://schemas.microsoft.com/office/word/2010/wordml" w:rsidRPr="008316B1" w:rsidR="008316B1" w:rsidP="008316B1" w:rsidRDefault="008316B1" w14:paraId="0A2A60C7" wp14:textId="77777777">
      <w:pPr>
        <w:pStyle w:val="ListParagraph"/>
        <w:numPr>
          <w:ilvl w:val="0"/>
          <w:numId w:val="2"/>
        </w:numPr>
      </w:pPr>
      <w:r w:rsidRPr="008316B1">
        <w:rPr>
          <w:bCs/>
        </w:rPr>
        <w:t xml:space="preserve">Albers GW et al. New </w:t>
      </w:r>
      <w:proofErr w:type="spellStart"/>
      <w:r w:rsidRPr="008316B1">
        <w:rPr>
          <w:bCs/>
        </w:rPr>
        <w:t>Engl</w:t>
      </w:r>
      <w:proofErr w:type="spellEnd"/>
      <w:r w:rsidRPr="008316B1">
        <w:rPr>
          <w:bCs/>
        </w:rPr>
        <w:t xml:space="preserve"> J Med 2018;378:708-18</w:t>
      </w:r>
    </w:p>
    <w:p xmlns:wp14="http://schemas.microsoft.com/office/word/2010/wordml" w:rsidRPr="008316B1" w:rsidR="008316B1" w:rsidP="008316B1" w:rsidRDefault="008316B1" w14:paraId="204EE159" wp14:textId="77777777">
      <w:pPr>
        <w:pStyle w:val="ListParagraph"/>
        <w:numPr>
          <w:ilvl w:val="0"/>
          <w:numId w:val="2"/>
        </w:numPr>
      </w:pPr>
      <w:proofErr w:type="spellStart"/>
      <w:r w:rsidRPr="008316B1">
        <w:rPr>
          <w:bCs/>
        </w:rPr>
        <w:t>Thomalla</w:t>
      </w:r>
      <w:proofErr w:type="spellEnd"/>
      <w:r w:rsidRPr="008316B1">
        <w:rPr>
          <w:bCs/>
        </w:rPr>
        <w:t xml:space="preserve"> G et al. New </w:t>
      </w:r>
      <w:proofErr w:type="spellStart"/>
      <w:r w:rsidRPr="008316B1">
        <w:rPr>
          <w:bCs/>
        </w:rPr>
        <w:t>Engl</w:t>
      </w:r>
      <w:proofErr w:type="spellEnd"/>
      <w:r w:rsidRPr="008316B1">
        <w:rPr>
          <w:bCs/>
        </w:rPr>
        <w:t xml:space="preserve"> J Med 2018; 379(7):611-22</w:t>
      </w:r>
    </w:p>
    <w:p xmlns:wp14="http://schemas.microsoft.com/office/word/2010/wordml" w:rsidR="008316B1" w:rsidP="008316B1" w:rsidRDefault="008316B1" w14:paraId="6A05A809" wp14:textId="77777777">
      <w:pPr>
        <w:pStyle w:val="ListParagraph"/>
        <w:ind w:left="1800"/>
      </w:pPr>
    </w:p>
    <w:p xmlns:wp14="http://schemas.microsoft.com/office/word/2010/wordml" w:rsidR="003F50F6" w:rsidP="003F50F6" w:rsidRDefault="003F50F6" w14:paraId="29D6B04F" wp14:textId="77777777">
      <w:pPr>
        <w:pStyle w:val="ListParagraph"/>
        <w:ind w:left="1800"/>
      </w:pPr>
      <w:r>
        <w:t xml:space="preserve"> </w:t>
      </w:r>
    </w:p>
    <w:p xmlns:wp14="http://schemas.microsoft.com/office/word/2010/wordml" w:rsidR="00B30986" w:rsidP="00B30986" w:rsidRDefault="00B30986" w14:paraId="5A39BBE3" wp14:textId="77777777"/>
    <w:sectPr w:rsidR="00B30986" w:rsidSect="003F50F6">
      <w:pgSz w:w="12240" w:h="15840" w:orient="portrait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383"/>
    <w:multiLevelType w:val="hybridMultilevel"/>
    <w:tmpl w:val="C22CB4FA"/>
    <w:lvl w:ilvl="0" w:tplc="8C08B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962443"/>
    <w:multiLevelType w:val="hybridMultilevel"/>
    <w:tmpl w:val="F88A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40"/>
    <w:rsid w:val="000C2D06"/>
    <w:rsid w:val="003666C4"/>
    <w:rsid w:val="003F50F6"/>
    <w:rsid w:val="008316B1"/>
    <w:rsid w:val="009709FE"/>
    <w:rsid w:val="00B30986"/>
    <w:rsid w:val="00C81640"/>
    <w:rsid w:val="00CD67BD"/>
    <w:rsid w:val="22D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342D88A-E43F-E548-A97D-3927B10316CB}"/>
  <w14:docId w14:val="04FEA78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0F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rsid w:val="003F5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downeastem.org/downeastem/2016/11/19/how-to-read-a-head-ct-andrew-perron-md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Siket</dc:creator>
  <keywords/>
  <dc:description/>
  <lastModifiedBy>jeff holmes</lastModifiedBy>
  <revision>3</revision>
  <dcterms:created xsi:type="dcterms:W3CDTF">2019-03-14T22:09:00.0000000Z</dcterms:created>
  <dcterms:modified xsi:type="dcterms:W3CDTF">2019-03-14T22:10:29.9941173Z</dcterms:modified>
</coreProperties>
</file>